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716" w:rsidRDefault="00A1303D">
      <w:pPr>
        <w:spacing w:line="590" w:lineRule="exact"/>
        <w:jc w:val="center"/>
        <w:rPr>
          <w:rFonts w:ascii="方正小标宋简体" w:eastAsia="方正小标宋简体" w:hAnsi="方正小标宋简体" w:cs="方正小标宋简体"/>
          <w:sz w:val="44"/>
        </w:rPr>
      </w:pPr>
      <w:r>
        <w:rPr>
          <w:rFonts w:eastAsia="方正小标宋简体"/>
          <w:sz w:val="44"/>
        </w:rPr>
        <w:t>2023</w:t>
      </w:r>
      <w:r>
        <w:rPr>
          <w:rFonts w:ascii="方正小标宋简体" w:eastAsia="方正小标宋简体" w:hAnsi="方正小标宋简体" w:cs="方正小标宋简体" w:hint="eastAsia"/>
          <w:sz w:val="44"/>
        </w:rPr>
        <w:t>年度许昌市哲学社会科学规划</w:t>
      </w:r>
    </w:p>
    <w:p w:rsidR="00EC7716" w:rsidRDefault="00A1303D">
      <w:pPr>
        <w:spacing w:line="590" w:lineRule="exact"/>
        <w:jc w:val="center"/>
        <w:rPr>
          <w:rFonts w:ascii="方正小标宋简体" w:eastAsia="方正小标宋简体" w:hAnsi="方正小标宋简体" w:cs="方正小标宋简体"/>
          <w:sz w:val="44"/>
        </w:rPr>
      </w:pPr>
      <w:r>
        <w:rPr>
          <w:rFonts w:ascii="方正小标宋简体" w:eastAsia="方正小标宋简体" w:hAnsi="方正小标宋简体" w:cs="方正小标宋简体" w:hint="eastAsia"/>
          <w:sz w:val="44"/>
        </w:rPr>
        <w:t>课题指南</w:t>
      </w:r>
    </w:p>
    <w:p w:rsidR="00EC7716" w:rsidRDefault="00EC7716">
      <w:pPr>
        <w:spacing w:line="59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EC7716" w:rsidRDefault="00A1303D">
      <w:pPr>
        <w:spacing w:line="590" w:lineRule="exact"/>
        <w:jc w:val="left"/>
        <w:rPr>
          <w:rFonts w:ascii="CESI黑体-GB2312" w:eastAsia="CESI黑体-GB2312" w:hAnsi="CESI黑体-GB2312" w:cs="CESI黑体-GB2312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sz w:val="32"/>
          <w:szCs w:val="32"/>
        </w:rPr>
        <w:t>重点课题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  <w:lang w:val="en"/>
        </w:rPr>
        <w:t>1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习近平新时代中国特色社会主义思想的许昌实践研究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  <w:lang w:val="en"/>
        </w:rPr>
        <w:t>2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中国式现代化的许昌实践研究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  <w:lang w:val="en"/>
        </w:rPr>
        <w:t>3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高质量建设城乡融合共同富裕先行实验区研究（可分领域</w:t>
      </w:r>
    </w:p>
    <w:p w:rsidR="00EC7716" w:rsidRDefault="00A1303D">
      <w:pPr>
        <w:spacing w:line="59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分专题研究）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  <w:lang w:val="en"/>
        </w:rPr>
        <w:t>4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打造“五个强市”研究（可分领域分专题研究）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  <w:lang w:val="en"/>
        </w:rPr>
        <w:t>5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许昌发挥优势打好“四张牌”研究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（可分领域分专题研究）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  <w:lang w:val="en"/>
        </w:rPr>
        <w:t>6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推进郑许一体化建设研究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  <w:lang w:val="en"/>
        </w:rPr>
        <w:t>7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构建郑汴许“黄金三角区”问题研究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  <w:lang w:val="en"/>
        </w:rPr>
        <w:t>8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许昌市实施文旅文创融合发展战略研究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  <w:lang w:val="en"/>
        </w:rPr>
        <w:t>9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推动中医药产业高质量发展研究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  <w:lang w:val="en"/>
        </w:rPr>
        <w:t>10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许昌加快绿色低碳转型战略研究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  <w:lang w:val="en"/>
        </w:rPr>
        <w:t>11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许昌推进新型城镇化战略研究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  <w:lang w:val="en"/>
        </w:rPr>
        <w:t>12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许昌推进共同富裕重点难点问题研究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  <w:lang w:val="en"/>
        </w:rPr>
        <w:t>13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许昌有效防范化解重大经济金融风险研究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  <w:lang w:val="en"/>
        </w:rPr>
        <w:t>14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许昌乡村振兴问题与对策研究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  <w:lang w:val="en"/>
        </w:rPr>
        <w:t>15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推动许昌民营经济高质量发展研究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  <w:lang w:val="en"/>
        </w:rPr>
        <w:t>16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加快许昌数字经济与实体经济深度融合研究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  <w:lang w:val="en"/>
        </w:rPr>
        <w:t>17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许昌优化营商环境的重点难点研究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  <w:lang w:val="en"/>
        </w:rPr>
        <w:lastRenderedPageBreak/>
        <w:t>18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加强党的基层组织建设研究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  <w:lang w:val="en"/>
        </w:rPr>
        <w:t>19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激励全市党员干部担当作为机制建设研究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  <w:lang w:val="en"/>
        </w:rPr>
        <w:t>20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全面建设健康许昌路径研究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  <w:lang w:val="en"/>
        </w:rPr>
        <w:t>21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许昌建设高质量教育体系路径研究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  <w:lang w:val="en"/>
        </w:rPr>
        <w:t>22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网络时代主流意识形态建设研究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  <w:lang w:val="en"/>
        </w:rPr>
        <w:t>23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构建高质量养老服务体系研究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  <w:lang w:val="en"/>
        </w:rPr>
        <w:t>24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基层党建引领城市社区治理机制研究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  <w:lang w:val="en"/>
        </w:rPr>
        <w:t>25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高质量推动“五星”支部创建工作研究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  <w:lang w:val="en"/>
        </w:rPr>
        <w:t>26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许昌市产业转型升级战略研究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  <w:lang w:val="en"/>
        </w:rPr>
        <w:t>27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农村（涉农地区）殡葬改革问题研究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  <w:lang w:val="en"/>
        </w:rPr>
        <w:t>28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提升社会治理法治化水平研究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  <w:lang w:val="en"/>
        </w:rPr>
        <w:t>29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法治政府建设标准和措施研究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  <w:lang w:val="en"/>
        </w:rPr>
        <w:t>30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“基层治理”立法切入高质量建设城乡融合共同富裕先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行试验区路径研究——以规范农村集体经营性建设用地为例当前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  <w:lang w:val="en"/>
        </w:rPr>
        <w:t>31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我市区域特色立法工作的范畴和实现途径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  <w:lang w:val="en"/>
        </w:rPr>
        <w:t>32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许昌文化品牌发展现状、思路对策研究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  <w:lang w:val="en"/>
        </w:rPr>
        <w:t>33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新时代大中小学思想政治教育研究</w:t>
      </w:r>
    </w:p>
    <w:p w:rsidR="00EC7716" w:rsidRDefault="00EC7716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C7716" w:rsidRDefault="00A1303D">
      <w:pPr>
        <w:spacing w:line="590" w:lineRule="exact"/>
        <w:jc w:val="left"/>
        <w:rPr>
          <w:rFonts w:ascii="CESI黑体-GB2312" w:eastAsia="CESI黑体-GB2312" w:hAnsi="CESI黑体-GB2312" w:cs="CESI黑体-GB2312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sz w:val="32"/>
          <w:szCs w:val="32"/>
        </w:rPr>
        <w:t>政治·哲学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34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习近平新时代中国特色社会主义思想对马克思主义发展</w:t>
      </w:r>
    </w:p>
    <w:p w:rsidR="00EC7716" w:rsidRDefault="00A1303D">
      <w:pPr>
        <w:spacing w:line="59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的原创性贡献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35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习近平新时代中国特色社会主义思想是中华文化和中国</w:t>
      </w:r>
    </w:p>
    <w:p w:rsidR="00EC7716" w:rsidRDefault="00A1303D">
      <w:pPr>
        <w:spacing w:line="59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精神的时代精华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36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以中国式现代化全面推进中华民族伟大复兴的理论与实践研究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37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中国式现代化的中国特色和本质要求研究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38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“两个确立”与新时代十年伟大变革研究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39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深化对“五个必由之路”规律性认识研究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40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“十个明确”的内在逻辑研究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41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以“两个结合”继续推进马克思主义中国化时代化研究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42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制度优势转化为治理效能途径机制研究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43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加强干部斗争精神和斗争本领养成研究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44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新时代传承弘扬红旗渠精神研究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45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新时代加强党的领导力途径和机制研究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46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推动理想信念教育常态化制度化研究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47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维护意识形态安全和文化安全研究</w:t>
      </w:r>
    </w:p>
    <w:p w:rsidR="00EC7716" w:rsidRDefault="00EC7716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C7716" w:rsidRDefault="00A1303D">
      <w:pPr>
        <w:spacing w:line="590" w:lineRule="exact"/>
        <w:jc w:val="left"/>
        <w:rPr>
          <w:rFonts w:ascii="CESI黑体-GB2312" w:eastAsia="CESI黑体-GB2312" w:hAnsi="CESI黑体-GB2312" w:cs="CESI黑体-GB2312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sz w:val="32"/>
          <w:szCs w:val="32"/>
        </w:rPr>
        <w:t>党史·党建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48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弘扬以伟大建党精神为源头的中国共产党人精神谱系研究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49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中国共产党坚定历史自信增强历史主动的成功经验和现</w:t>
      </w:r>
    </w:p>
    <w:p w:rsidR="00EC7716" w:rsidRDefault="00A1303D">
      <w:pPr>
        <w:spacing w:line="59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实意义研究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新时代中国共产党自我革命研究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51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健全全面从严治党体系研究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52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党风廉政建设理论研究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53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“三个务必”的价值意蕴与实践要求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54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有效推进社会组织党建路径研究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55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创新新时代党的群众工作路径研究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56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推动党史学习教育常态化长效化机制研究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57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乡村振兴背景下农村基层党组织带头人队伍建设研究</w:t>
      </w:r>
    </w:p>
    <w:p w:rsidR="00EC7716" w:rsidRDefault="00EC7716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C7716" w:rsidRDefault="00A1303D">
      <w:pPr>
        <w:spacing w:line="590" w:lineRule="exact"/>
        <w:jc w:val="left"/>
        <w:rPr>
          <w:rFonts w:ascii="CESI黑体-GB2312" w:eastAsia="CESI黑体-GB2312" w:hAnsi="CESI黑体-GB2312" w:cs="CESI黑体-GB2312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sz w:val="32"/>
          <w:szCs w:val="32"/>
        </w:rPr>
        <w:t>社会·法治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58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习近平法治思想的</w:t>
      </w:r>
      <w:r>
        <w:rPr>
          <w:rFonts w:ascii="仿宋_GB2312" w:eastAsia="仿宋_GB2312" w:hAnsi="仿宋_GB2312" w:cs="仿宋_GB2312" w:hint="eastAsia"/>
          <w:sz w:val="32"/>
          <w:szCs w:val="32"/>
        </w:rPr>
        <w:t>许昌</w:t>
      </w:r>
      <w:r>
        <w:rPr>
          <w:rFonts w:ascii="仿宋_GB2312" w:eastAsia="仿宋_GB2312" w:hAnsi="仿宋_GB2312" w:cs="仿宋_GB2312" w:hint="eastAsia"/>
          <w:sz w:val="32"/>
          <w:szCs w:val="32"/>
        </w:rPr>
        <w:t>实践研究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59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习近平生态文明思想的</w:t>
      </w:r>
      <w:r>
        <w:rPr>
          <w:rFonts w:ascii="仿宋_GB2312" w:eastAsia="仿宋_GB2312" w:hAnsi="仿宋_GB2312" w:cs="仿宋_GB2312" w:hint="eastAsia"/>
          <w:sz w:val="32"/>
          <w:szCs w:val="32"/>
        </w:rPr>
        <w:t>许昌</w:t>
      </w:r>
      <w:r>
        <w:rPr>
          <w:rFonts w:ascii="仿宋_GB2312" w:eastAsia="仿宋_GB2312" w:hAnsi="仿宋_GB2312" w:cs="仿宋_GB2312" w:hint="eastAsia"/>
          <w:sz w:val="32"/>
          <w:szCs w:val="32"/>
        </w:rPr>
        <w:t>实践研究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推动党内法规制度建设研究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61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推进共同富裕政策体系建设研究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62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提高一体推进“三不腐”能力和水平问题研究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63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“清廉许昌”建设研究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64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许昌建设覆盖城乡的现代公共法律服务体系研究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65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支持和发展就业新形态问题研究</w:t>
      </w:r>
    </w:p>
    <w:p w:rsidR="00EC7716" w:rsidRDefault="00EC7716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C7716" w:rsidRDefault="00A1303D">
      <w:pPr>
        <w:spacing w:line="590" w:lineRule="exact"/>
        <w:jc w:val="left"/>
        <w:rPr>
          <w:rFonts w:ascii="CESI黑体-GB2312" w:eastAsia="CESI黑体-GB2312" w:hAnsi="CESI黑体-GB2312" w:cs="CESI黑体-GB2312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sz w:val="32"/>
          <w:szCs w:val="32"/>
        </w:rPr>
        <w:t>经济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66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习近平经济思想的许昌实践研究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67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许昌建设制造业强市研究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68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加快建设具有许昌特色的现代化产业体系研究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69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促进许昌房地产业良性循环和健康发展研究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70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进一步做强县域特色产业研究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71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许昌小微企业纾困措施研究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72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许昌乡村建设主要问题和推进举措研究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73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许昌发展新型农村集体经济的问题和对策研究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74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提振消费信心释放消费活力策略研究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75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做强做大实体经济路径研究</w:t>
      </w:r>
    </w:p>
    <w:p w:rsidR="00EC7716" w:rsidRDefault="00EC7716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C7716" w:rsidRDefault="00A1303D">
      <w:pPr>
        <w:spacing w:line="590" w:lineRule="exact"/>
        <w:jc w:val="left"/>
        <w:rPr>
          <w:rFonts w:ascii="CESI黑体-GB2312" w:eastAsia="CESI黑体-GB2312" w:hAnsi="CESI黑体-GB2312" w:cs="CESI黑体-GB2312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sz w:val="32"/>
          <w:szCs w:val="32"/>
        </w:rPr>
        <w:t>新闻·网络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76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大数据时代许昌网络舆情的传播与管理研究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77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提升主流媒体传播力、引导力、影响力、公信力研究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78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新时代许昌形象塑造研究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79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加强网络文明建设研究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80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重大突发事件中网络谣言的治理研究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81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许昌市媒体深度融合发展路径研究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82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网络流行语与社会心理研究</w:t>
      </w:r>
    </w:p>
    <w:p w:rsidR="00EC7716" w:rsidRDefault="00EC7716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C7716" w:rsidRDefault="00A1303D">
      <w:pPr>
        <w:spacing w:line="590" w:lineRule="exact"/>
        <w:jc w:val="left"/>
        <w:rPr>
          <w:rFonts w:ascii="CESI黑体-GB2312" w:eastAsia="CESI黑体-GB2312" w:hAnsi="CESI黑体-GB2312" w:cs="CESI黑体-GB2312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sz w:val="32"/>
          <w:szCs w:val="32"/>
        </w:rPr>
        <w:t>教育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83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社会主义核心价值观宣传教育研究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84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党的二十大精神融入高校思政课教学研究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85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网络环境下高校思想政治教育研究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86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实施基础教育高质量发展研究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87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新时代大学生思想、心理及关心的热点难点问题研究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88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在社会大课堂中讲好“大思政</w:t>
      </w:r>
      <w:r>
        <w:rPr>
          <w:rFonts w:ascii="仿宋_GB2312" w:eastAsia="仿宋_GB2312" w:hAnsi="仿宋_GB2312" w:cs="仿宋_GB2312" w:hint="eastAsia"/>
          <w:sz w:val="32"/>
          <w:szCs w:val="32"/>
        </w:rPr>
        <w:t>课”研究</w:t>
      </w:r>
    </w:p>
    <w:p w:rsidR="00EC7716" w:rsidRDefault="00EC7716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C7716" w:rsidRDefault="00A1303D">
      <w:pPr>
        <w:spacing w:line="590" w:lineRule="exact"/>
        <w:jc w:val="left"/>
        <w:rPr>
          <w:rFonts w:ascii="CESI黑体-GB2312" w:eastAsia="CESI黑体-GB2312" w:hAnsi="CESI黑体-GB2312" w:cs="CESI黑体-GB2312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sz w:val="32"/>
          <w:szCs w:val="32"/>
        </w:rPr>
        <w:t>历史·文化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89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“清廉许昌”文化研究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90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提升中华文明传播力和影响力研究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91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许昌红色文化资源保护利用研究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92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中华传统美德的传承、弘扬和现代转化研究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93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许昌历史文化名人研究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94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许昌历史文化遗址保护及开发利用研究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95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文化强市建设路径与对策研究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96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提升许昌“三国文化”影响力研究</w:t>
      </w:r>
    </w:p>
    <w:p w:rsidR="00EC7716" w:rsidRDefault="00A1303D">
      <w:pPr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97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提升“钧瓷文化”影响力研究</w:t>
      </w:r>
    </w:p>
    <w:p w:rsidR="00EC7716" w:rsidRPr="006875DB" w:rsidRDefault="00A1303D" w:rsidP="006875DB">
      <w:pPr>
        <w:spacing w:line="59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98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黄河文化的“根”与“魂”研究</w:t>
      </w:r>
      <w:bookmarkStart w:id="0" w:name="_GoBack"/>
      <w:bookmarkEnd w:id="0"/>
    </w:p>
    <w:sectPr w:rsidR="00EC7716" w:rsidRPr="006875DB">
      <w:footerReference w:type="default" r:id="rId8"/>
      <w:pgSz w:w="11906" w:h="16838"/>
      <w:pgMar w:top="1871" w:right="1531" w:bottom="1871" w:left="1531" w:header="851" w:footer="1417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03D" w:rsidRDefault="00A1303D">
      <w:r>
        <w:separator/>
      </w:r>
    </w:p>
  </w:endnote>
  <w:endnote w:type="continuationSeparator" w:id="0">
    <w:p w:rsidR="00A1303D" w:rsidRDefault="00A1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ESI黑体-GB2312">
    <w:altName w:val="黑体"/>
    <w:charset w:val="86"/>
    <w:family w:val="auto"/>
    <w:pitch w:val="default"/>
    <w:sig w:usb0="00000000" w:usb1="00000000" w:usb2="00000012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716" w:rsidRDefault="00A1303D">
    <w:pPr>
      <w:pStyle w:val="a8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4869041"/>
                          </w:sdtPr>
                          <w:sdtEndPr/>
                          <w:sdtContent>
                            <w:p w:rsidR="00EC7716" w:rsidRDefault="00A1303D">
                              <w:pPr>
                                <w:pStyle w:val="a8"/>
                                <w:jc w:val="center"/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6875DB" w:rsidRPr="006875DB">
                                <w:rPr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6875DB">
                                <w:rPr>
                                  <w:noProof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EC7716" w:rsidRDefault="00EC7716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sdt>
                    <w:sdtPr>
                      <w:id w:val="4869041"/>
                    </w:sdtPr>
                    <w:sdtEndPr/>
                    <w:sdtContent>
                      <w:p w:rsidR="00EC7716" w:rsidRDefault="00A1303D">
                        <w:pPr>
                          <w:pStyle w:val="a8"/>
                          <w:jc w:val="center"/>
                        </w:pPr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 w:rsidR="006875DB" w:rsidRPr="006875DB">
                          <w:rPr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6875DB">
                          <w:rPr>
                            <w:noProof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:rsidR="00EC7716" w:rsidRDefault="00EC7716"/>
                </w:txbxContent>
              </v:textbox>
              <w10:wrap anchorx="margin"/>
            </v:shape>
          </w:pict>
        </mc:Fallback>
      </mc:AlternateContent>
    </w:r>
  </w:p>
  <w:p w:rsidR="00EC7716" w:rsidRDefault="00EC771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03D" w:rsidRDefault="00A1303D">
      <w:r>
        <w:separator/>
      </w:r>
    </w:p>
  </w:footnote>
  <w:footnote w:type="continuationSeparator" w:id="0">
    <w:p w:rsidR="00A1303D" w:rsidRDefault="00A13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B"/>
    <w:lvl w:ilvl="0">
      <w:start w:val="1"/>
      <w:numFmt w:val="chineseCountingThousand"/>
      <w:pStyle w:val="2"/>
      <w:lvlText w:val="第%1章　"/>
      <w:lvlJc w:val="left"/>
      <w:pPr>
        <w:tabs>
          <w:tab w:val="left" w:pos="1440"/>
        </w:tabs>
        <w:ind w:left="2190" w:hanging="720"/>
      </w:pPr>
      <w:rPr>
        <w:rFonts w:hint="eastAsia"/>
        <w:sz w:val="32"/>
      </w:rPr>
    </w:lvl>
    <w:lvl w:ilvl="1">
      <w:start w:val="1"/>
      <w:numFmt w:val="lowerRoman"/>
      <w:lvlText w:val="(%2)"/>
      <w:lvlJc w:val="left"/>
      <w:pPr>
        <w:tabs>
          <w:tab w:val="left" w:pos="861"/>
        </w:tabs>
        <w:ind w:left="2121" w:hanging="720"/>
      </w:pPr>
      <w:rPr>
        <w:rFonts w:hint="eastAsia"/>
      </w:rPr>
    </w:lvl>
    <w:lvl w:ilvl="2">
      <w:start w:val="1"/>
      <w:numFmt w:val="lowerLetter"/>
      <w:lvlText w:val="(%3)"/>
      <w:lvlJc w:val="left"/>
      <w:pPr>
        <w:tabs>
          <w:tab w:val="left" w:pos="1335"/>
        </w:tabs>
        <w:ind w:left="2595" w:hanging="49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294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336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378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420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462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50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HorizontalSpacing w:val="158"/>
  <w:drawingGridVerticalSpacing w:val="290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jYjVjZTZkMzdjOTVhNjgyNjdkZmYzZWMwNmI3YjQifQ=="/>
  </w:docVars>
  <w:rsids>
    <w:rsidRoot w:val="00D63D0D"/>
    <w:rsid w:val="AE7B8122"/>
    <w:rsid w:val="B73F1F21"/>
    <w:rsid w:val="B7BF262C"/>
    <w:rsid w:val="BA6F85D8"/>
    <w:rsid w:val="BD5F1BC0"/>
    <w:rsid w:val="BD7F9367"/>
    <w:rsid w:val="BEBCFEF8"/>
    <w:rsid w:val="BFE3360F"/>
    <w:rsid w:val="BFF98080"/>
    <w:rsid w:val="BFFD049A"/>
    <w:rsid w:val="BFFF4727"/>
    <w:rsid w:val="BFFFDF80"/>
    <w:rsid w:val="BFFFEFA0"/>
    <w:rsid w:val="C76D315F"/>
    <w:rsid w:val="CBFFEFB9"/>
    <w:rsid w:val="CE3736E0"/>
    <w:rsid w:val="CFB715DC"/>
    <w:rsid w:val="CFB79A34"/>
    <w:rsid w:val="CFEF8BC4"/>
    <w:rsid w:val="CFFF5E80"/>
    <w:rsid w:val="D53E2625"/>
    <w:rsid w:val="D5DFBB7C"/>
    <w:rsid w:val="D6CD7094"/>
    <w:rsid w:val="D72D644F"/>
    <w:rsid w:val="D9AD1776"/>
    <w:rsid w:val="DBFBB207"/>
    <w:rsid w:val="DF5F1CAF"/>
    <w:rsid w:val="DFCB4298"/>
    <w:rsid w:val="DFDA764A"/>
    <w:rsid w:val="E2FDD0AD"/>
    <w:rsid w:val="E57FA3D5"/>
    <w:rsid w:val="E7FED64D"/>
    <w:rsid w:val="E9F65923"/>
    <w:rsid w:val="EB32F367"/>
    <w:rsid w:val="EC7F3C4F"/>
    <w:rsid w:val="EEBBC311"/>
    <w:rsid w:val="EF7E35DB"/>
    <w:rsid w:val="EFBF07ED"/>
    <w:rsid w:val="EFDFB8F9"/>
    <w:rsid w:val="EFEC1C64"/>
    <w:rsid w:val="EFF79FED"/>
    <w:rsid w:val="EFFE1721"/>
    <w:rsid w:val="F1FCD59F"/>
    <w:rsid w:val="F2BF17F0"/>
    <w:rsid w:val="F4D7DB9B"/>
    <w:rsid w:val="F6BFF770"/>
    <w:rsid w:val="F6FB4684"/>
    <w:rsid w:val="F7DF6840"/>
    <w:rsid w:val="F7F60D8C"/>
    <w:rsid w:val="F7FFF209"/>
    <w:rsid w:val="FB3F36FF"/>
    <w:rsid w:val="FB3FFA0E"/>
    <w:rsid w:val="FBEE8949"/>
    <w:rsid w:val="FBF93B74"/>
    <w:rsid w:val="FC5B3D3A"/>
    <w:rsid w:val="FD6371D9"/>
    <w:rsid w:val="FD6EFE1A"/>
    <w:rsid w:val="FECF9DD9"/>
    <w:rsid w:val="FEDB96F5"/>
    <w:rsid w:val="FF770AC8"/>
    <w:rsid w:val="FFAEC75C"/>
    <w:rsid w:val="FFDEB259"/>
    <w:rsid w:val="FFF6D058"/>
    <w:rsid w:val="FFFA82EE"/>
    <w:rsid w:val="FFFF6FAF"/>
    <w:rsid w:val="FFFFA5D3"/>
    <w:rsid w:val="0000436D"/>
    <w:rsid w:val="0003408D"/>
    <w:rsid w:val="00057FB4"/>
    <w:rsid w:val="000A2038"/>
    <w:rsid w:val="000C5680"/>
    <w:rsid w:val="001166AC"/>
    <w:rsid w:val="001649CB"/>
    <w:rsid w:val="001837A2"/>
    <w:rsid w:val="001A5B10"/>
    <w:rsid w:val="001A7A20"/>
    <w:rsid w:val="0028770F"/>
    <w:rsid w:val="002B2988"/>
    <w:rsid w:val="002C6484"/>
    <w:rsid w:val="002D702B"/>
    <w:rsid w:val="002F0E68"/>
    <w:rsid w:val="00317405"/>
    <w:rsid w:val="00342EB8"/>
    <w:rsid w:val="003F2992"/>
    <w:rsid w:val="003F372F"/>
    <w:rsid w:val="00447F9F"/>
    <w:rsid w:val="004A65FD"/>
    <w:rsid w:val="004C0671"/>
    <w:rsid w:val="004D577C"/>
    <w:rsid w:val="0055056D"/>
    <w:rsid w:val="00590C07"/>
    <w:rsid w:val="005A3823"/>
    <w:rsid w:val="005B516D"/>
    <w:rsid w:val="00603E22"/>
    <w:rsid w:val="006052DA"/>
    <w:rsid w:val="00627BB2"/>
    <w:rsid w:val="00644F56"/>
    <w:rsid w:val="006504C0"/>
    <w:rsid w:val="006875DB"/>
    <w:rsid w:val="006B60F6"/>
    <w:rsid w:val="00701BE9"/>
    <w:rsid w:val="00722DE1"/>
    <w:rsid w:val="00742C8D"/>
    <w:rsid w:val="0075671C"/>
    <w:rsid w:val="00765CF5"/>
    <w:rsid w:val="00794E71"/>
    <w:rsid w:val="007B0B62"/>
    <w:rsid w:val="007B6FEC"/>
    <w:rsid w:val="00826AE7"/>
    <w:rsid w:val="008413A7"/>
    <w:rsid w:val="0084182A"/>
    <w:rsid w:val="00871149"/>
    <w:rsid w:val="00880D39"/>
    <w:rsid w:val="008C4609"/>
    <w:rsid w:val="008F2FED"/>
    <w:rsid w:val="00997EA4"/>
    <w:rsid w:val="009D3154"/>
    <w:rsid w:val="009F3220"/>
    <w:rsid w:val="009F735D"/>
    <w:rsid w:val="00A04A99"/>
    <w:rsid w:val="00A10163"/>
    <w:rsid w:val="00A1303D"/>
    <w:rsid w:val="00A32CA5"/>
    <w:rsid w:val="00A50336"/>
    <w:rsid w:val="00A52742"/>
    <w:rsid w:val="00A66186"/>
    <w:rsid w:val="00AF4FE7"/>
    <w:rsid w:val="00BD5443"/>
    <w:rsid w:val="00BE30AB"/>
    <w:rsid w:val="00C03DE8"/>
    <w:rsid w:val="00D63D0D"/>
    <w:rsid w:val="00DC68D4"/>
    <w:rsid w:val="00E14DAE"/>
    <w:rsid w:val="00E40D6E"/>
    <w:rsid w:val="00EC7716"/>
    <w:rsid w:val="00ED6C5C"/>
    <w:rsid w:val="00F32650"/>
    <w:rsid w:val="00F44FD6"/>
    <w:rsid w:val="00F97F5C"/>
    <w:rsid w:val="00FD1A92"/>
    <w:rsid w:val="00FE5A43"/>
    <w:rsid w:val="07AA637F"/>
    <w:rsid w:val="0BEB6E51"/>
    <w:rsid w:val="0EA42C20"/>
    <w:rsid w:val="13060EEB"/>
    <w:rsid w:val="16A662E6"/>
    <w:rsid w:val="17FE0F17"/>
    <w:rsid w:val="17FF81F6"/>
    <w:rsid w:val="1A2B53E0"/>
    <w:rsid w:val="1BFFF30A"/>
    <w:rsid w:val="1EFEC158"/>
    <w:rsid w:val="1EFEDBAF"/>
    <w:rsid w:val="1FE6423F"/>
    <w:rsid w:val="1FFF7381"/>
    <w:rsid w:val="2739702C"/>
    <w:rsid w:val="2B7EC9F9"/>
    <w:rsid w:val="2BD845A2"/>
    <w:rsid w:val="2BF9BBA5"/>
    <w:rsid w:val="2BFF8EB3"/>
    <w:rsid w:val="2CF8053A"/>
    <w:rsid w:val="2DB40060"/>
    <w:rsid w:val="2DFAB3DF"/>
    <w:rsid w:val="2F76E636"/>
    <w:rsid w:val="2FBBEDD8"/>
    <w:rsid w:val="2FFBE7B3"/>
    <w:rsid w:val="32061FF9"/>
    <w:rsid w:val="33ED56C2"/>
    <w:rsid w:val="367D4823"/>
    <w:rsid w:val="370365B8"/>
    <w:rsid w:val="37F9AB6C"/>
    <w:rsid w:val="38E703E6"/>
    <w:rsid w:val="3AFB9904"/>
    <w:rsid w:val="3BD7E772"/>
    <w:rsid w:val="3C406CD7"/>
    <w:rsid w:val="3EB00698"/>
    <w:rsid w:val="3F0C0376"/>
    <w:rsid w:val="3F3BFC31"/>
    <w:rsid w:val="3FAF34BE"/>
    <w:rsid w:val="3FF34320"/>
    <w:rsid w:val="42D26C11"/>
    <w:rsid w:val="43760BEC"/>
    <w:rsid w:val="467DF025"/>
    <w:rsid w:val="47BE98D8"/>
    <w:rsid w:val="49AE0F13"/>
    <w:rsid w:val="4DFBB7DA"/>
    <w:rsid w:val="53CE797B"/>
    <w:rsid w:val="565C9B45"/>
    <w:rsid w:val="56D9DF68"/>
    <w:rsid w:val="578DE462"/>
    <w:rsid w:val="57BF4A41"/>
    <w:rsid w:val="582A3C9A"/>
    <w:rsid w:val="5BFD1CED"/>
    <w:rsid w:val="5BFFECEF"/>
    <w:rsid w:val="5D6F043D"/>
    <w:rsid w:val="5ED56CB1"/>
    <w:rsid w:val="5FFB9D0E"/>
    <w:rsid w:val="5FFD11FD"/>
    <w:rsid w:val="5FFDF165"/>
    <w:rsid w:val="5FFF368D"/>
    <w:rsid w:val="61FDC8F0"/>
    <w:rsid w:val="62B06D0F"/>
    <w:rsid w:val="66EFD29F"/>
    <w:rsid w:val="67DFCF12"/>
    <w:rsid w:val="67E77315"/>
    <w:rsid w:val="6CE50A55"/>
    <w:rsid w:val="6D8F0397"/>
    <w:rsid w:val="6E3F37B6"/>
    <w:rsid w:val="6EFFAF25"/>
    <w:rsid w:val="6EFFD139"/>
    <w:rsid w:val="6FFF3EFF"/>
    <w:rsid w:val="71FE5DB3"/>
    <w:rsid w:val="71FFB33A"/>
    <w:rsid w:val="73257E81"/>
    <w:rsid w:val="735FFF96"/>
    <w:rsid w:val="752F7B93"/>
    <w:rsid w:val="77427B84"/>
    <w:rsid w:val="776FE946"/>
    <w:rsid w:val="777F148C"/>
    <w:rsid w:val="777F9756"/>
    <w:rsid w:val="77B73D4A"/>
    <w:rsid w:val="77C584C5"/>
    <w:rsid w:val="77F7FEC8"/>
    <w:rsid w:val="7915C114"/>
    <w:rsid w:val="793F35E0"/>
    <w:rsid w:val="797B351D"/>
    <w:rsid w:val="79BCBD38"/>
    <w:rsid w:val="79FF43D9"/>
    <w:rsid w:val="7B77495A"/>
    <w:rsid w:val="7BE99BEA"/>
    <w:rsid w:val="7BFD64DD"/>
    <w:rsid w:val="7BFDED62"/>
    <w:rsid w:val="7DC92567"/>
    <w:rsid w:val="7DD7E852"/>
    <w:rsid w:val="7DF0D7CC"/>
    <w:rsid w:val="7DFD440E"/>
    <w:rsid w:val="7E771EDE"/>
    <w:rsid w:val="7F1BD3AB"/>
    <w:rsid w:val="7F27FC5D"/>
    <w:rsid w:val="7F3B3C45"/>
    <w:rsid w:val="7F3D85A2"/>
    <w:rsid w:val="7FBBC5FA"/>
    <w:rsid w:val="7FDD7AA3"/>
    <w:rsid w:val="7FDFC097"/>
    <w:rsid w:val="7FEBE8B4"/>
    <w:rsid w:val="7FF48F80"/>
    <w:rsid w:val="7FFE8BC5"/>
    <w:rsid w:val="8E6F58C7"/>
    <w:rsid w:val="8FFF9B7A"/>
    <w:rsid w:val="97DDD83D"/>
    <w:rsid w:val="99EFA42A"/>
    <w:rsid w:val="9C9F6679"/>
    <w:rsid w:val="AAFD72D1"/>
    <w:rsid w:val="ABD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4BC0F42"/>
  <w15:docId w15:val="{11AF8D7F-F205-4F95-BBB4-5C2C21FB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 w:qFormat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4"/>
    </w:rPr>
  </w:style>
  <w:style w:type="paragraph" w:styleId="20">
    <w:name w:val="heading 2"/>
    <w:basedOn w:val="a"/>
    <w:next w:val="a"/>
    <w:link w:val="21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"/>
    <w:qFormat/>
    <w:pPr>
      <w:spacing w:after="120"/>
    </w:pPr>
  </w:style>
  <w:style w:type="paragraph" w:styleId="2">
    <w:name w:val="Body Text 2"/>
    <w:basedOn w:val="a"/>
    <w:next w:val="a3"/>
    <w:qFormat/>
    <w:pPr>
      <w:widowControl/>
      <w:numPr>
        <w:numId w:val="1"/>
      </w:numPr>
      <w:tabs>
        <w:tab w:val="clear" w:pos="1440"/>
      </w:tabs>
      <w:spacing w:beforeLines="50" w:line="336" w:lineRule="auto"/>
      <w:ind w:left="0" w:firstLine="0"/>
    </w:pPr>
    <w:rPr>
      <w:rFonts w:eastAsia="黑体"/>
      <w:szCs w:val="20"/>
      <w:lang w:val="en-GB"/>
    </w:rPr>
  </w:style>
  <w:style w:type="paragraph" w:styleId="a4">
    <w:name w:val="Plain Text"/>
    <w:basedOn w:val="a"/>
    <w:link w:val="a5"/>
    <w:uiPriority w:val="99"/>
    <w:unhideWhenUsed/>
    <w:qFormat/>
    <w:pPr>
      <w:ind w:firstLineChars="200" w:firstLine="200"/>
    </w:pPr>
    <w:rPr>
      <w:rFonts w:ascii="宋体" w:hAnsi="Courier New"/>
      <w:szCs w:val="20"/>
    </w:rPr>
  </w:style>
  <w:style w:type="paragraph" w:styleId="a6">
    <w:name w:val="Date"/>
    <w:basedOn w:val="a"/>
    <w:next w:val="a"/>
    <w:link w:val="a7"/>
    <w:uiPriority w:val="99"/>
    <w:semiHidden/>
    <w:unhideWhenUsed/>
    <w:qFormat/>
    <w:pPr>
      <w:ind w:leftChars="2500" w:left="100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c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Body Text First Indent"/>
    <w:basedOn w:val="a3"/>
    <w:uiPriority w:val="99"/>
    <w:unhideWhenUsed/>
    <w:qFormat/>
    <w:pPr>
      <w:ind w:firstLineChars="100" w:firstLine="420"/>
    </w:pPr>
  </w:style>
  <w:style w:type="table" w:styleId="a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uiPriority w:val="99"/>
    <w:qFormat/>
    <w:rPr>
      <w:rFonts w:cs="Times New Roman"/>
    </w:rPr>
  </w:style>
  <w:style w:type="character" w:styleId="af0">
    <w:name w:val="Hyperlink"/>
    <w:basedOn w:val="a0"/>
    <w:qFormat/>
    <w:rPr>
      <w:color w:val="0000FF"/>
      <w:u w:val="single"/>
    </w:rPr>
  </w:style>
  <w:style w:type="paragraph" w:customStyle="1" w:styleId="210">
    <w:name w:val="正文文本 21"/>
    <w:basedOn w:val="a"/>
    <w:qFormat/>
    <w:pPr>
      <w:spacing w:line="480" w:lineRule="auto"/>
    </w:pPr>
  </w:style>
  <w:style w:type="paragraph" w:customStyle="1" w:styleId="BodyText21">
    <w:name w:val="Body Text 21"/>
    <w:basedOn w:val="a"/>
    <w:next w:val="a"/>
    <w:qFormat/>
    <w:pPr>
      <w:spacing w:after="120" w:line="600" w:lineRule="exact"/>
    </w:pPr>
    <w:rPr>
      <w:rFonts w:eastAsia="仿宋_GB2312"/>
      <w:sz w:val="32"/>
    </w:rPr>
  </w:style>
  <w:style w:type="character" w:customStyle="1" w:styleId="21">
    <w:name w:val="标题 2 字符"/>
    <w:basedOn w:val="a0"/>
    <w:link w:val="20"/>
    <w:uiPriority w:val="9"/>
    <w:qFormat/>
    <w:rPr>
      <w:rFonts w:ascii="宋体" w:hAnsi="宋体" w:cs="宋体"/>
      <w:b/>
      <w:bCs/>
      <w:sz w:val="36"/>
      <w:szCs w:val="36"/>
    </w:rPr>
  </w:style>
  <w:style w:type="character" w:customStyle="1" w:styleId="ab">
    <w:name w:val="页眉 字符"/>
    <w:basedOn w:val="a0"/>
    <w:link w:val="aa"/>
    <w:uiPriority w:val="99"/>
    <w:qFormat/>
    <w:rPr>
      <w:kern w:val="2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kern w:val="2"/>
      <w:sz w:val="18"/>
      <w:szCs w:val="18"/>
    </w:rPr>
  </w:style>
  <w:style w:type="character" w:customStyle="1" w:styleId="a7">
    <w:name w:val="日期 字符"/>
    <w:basedOn w:val="a0"/>
    <w:link w:val="a6"/>
    <w:uiPriority w:val="99"/>
    <w:semiHidden/>
    <w:qFormat/>
    <w:rPr>
      <w:kern w:val="2"/>
      <w:sz w:val="21"/>
      <w:szCs w:val="24"/>
    </w:rPr>
  </w:style>
  <w:style w:type="character" w:customStyle="1" w:styleId="Char">
    <w:name w:val="纯文本 Char"/>
    <w:basedOn w:val="a0"/>
    <w:uiPriority w:val="99"/>
    <w:semiHidden/>
    <w:qFormat/>
    <w:rPr>
      <w:rFonts w:ascii="宋体" w:hAnsi="Courier New" w:cs="Courier New"/>
      <w:kern w:val="2"/>
      <w:sz w:val="21"/>
      <w:szCs w:val="21"/>
    </w:rPr>
  </w:style>
  <w:style w:type="character" w:customStyle="1" w:styleId="a5">
    <w:name w:val="纯文本 字符"/>
    <w:basedOn w:val="a0"/>
    <w:link w:val="a4"/>
    <w:uiPriority w:val="99"/>
    <w:semiHidden/>
    <w:qFormat/>
    <w:locked/>
    <w:rPr>
      <w:rFonts w:ascii="宋体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49</cp:revision>
  <cp:lastPrinted>2023-05-09T02:21:00Z</cp:lastPrinted>
  <dcterms:created xsi:type="dcterms:W3CDTF">2016-08-25T10:00:00Z</dcterms:created>
  <dcterms:modified xsi:type="dcterms:W3CDTF">2023-05-11T02:26:00Z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83DF41E91E2043A6B48F31AAE199AFEF_13</vt:lpwstr>
  </property>
</Properties>
</file>